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日立CS120FNX简易操作说明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line="360" w:lineRule="auto"/>
        <w:ind w:left="357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使用前请保证机器已按正确的方法调好平衡。如果机器搬动挪位，请勿直接开机运行操作，必须先调好平衡。</w:t>
      </w:r>
    </w:p>
    <w:p>
      <w:pPr>
        <w:pStyle w:val="7"/>
        <w:numPr>
          <w:ilvl w:val="0"/>
          <w:numId w:val="1"/>
        </w:numPr>
        <w:spacing w:line="360" w:lineRule="auto"/>
        <w:ind w:left="357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运行准备：</w:t>
      </w:r>
    </w:p>
    <w:p>
      <w:pPr>
        <w:pStyle w:val="7"/>
        <w:spacing w:line="360" w:lineRule="auto"/>
        <w:ind w:left="357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 xml:space="preserve">.1 </w:t>
      </w:r>
      <w:r>
        <w:rPr>
          <w:rFonts w:hint="eastAsia" w:ascii="宋体" w:hAnsi="宋体" w:eastAsia="宋体"/>
          <w:sz w:val="24"/>
          <w:szCs w:val="24"/>
        </w:rPr>
        <w:t>打开机器电源开关</w:t>
      </w:r>
    </w:p>
    <w:p>
      <w:pPr>
        <w:pStyle w:val="7"/>
        <w:spacing w:line="360" w:lineRule="auto"/>
        <w:ind w:left="357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.2</w:t>
      </w:r>
      <w:r>
        <w:rPr>
          <w:rFonts w:hint="eastAsia" w:ascii="宋体" w:hAnsi="宋体" w:eastAsia="宋体"/>
          <w:sz w:val="24"/>
          <w:szCs w:val="24"/>
        </w:rPr>
        <w:t>观察屏幕的显示是否正常：如图</w:t>
      </w:r>
    </w:p>
    <w:p>
      <w:pPr>
        <w:pStyle w:val="7"/>
        <w:ind w:left="360" w:firstLine="0" w:firstLineChars="0"/>
        <w:rPr>
          <w:sz w:val="24"/>
          <w:szCs w:val="24"/>
        </w:rPr>
      </w:pPr>
      <w:r>
        <w:drawing>
          <wp:inline distT="0" distB="0" distL="0" distR="0">
            <wp:extent cx="2352675" cy="1962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ind w:left="3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.3</w:t>
      </w:r>
      <w:r>
        <w:rPr>
          <w:rFonts w:hint="eastAsia" w:ascii="宋体" w:hAnsi="宋体" w:eastAsia="宋体"/>
          <w:sz w:val="24"/>
          <w:szCs w:val="24"/>
        </w:rPr>
        <w:t>将需要离心的样品配平，按正确的方法将离心管装好，并放于相应的转头中。将转头正确地放置与离心轴上，盖好盖子。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3、基本操作：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3.1 </w:t>
      </w:r>
      <w:r>
        <w:rPr>
          <w:rFonts w:hint="eastAsia" w:ascii="宋体" w:hAnsi="宋体" w:eastAsia="宋体"/>
          <w:sz w:val="24"/>
          <w:szCs w:val="24"/>
        </w:rPr>
        <w:t>设定运行条件：</w:t>
      </w:r>
    </w:p>
    <w:p>
      <w:pPr>
        <w:spacing w:line="36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设定：转速、时间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drawing>
          <wp:inline distT="0" distB="0" distL="0" distR="0">
            <wp:extent cx="3402965" cy="1920240"/>
            <wp:effectExtent l="0" t="0" r="698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7047" cy="193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用手触摸转速或时间的区域，会弹出相应的数字框，设定相应的数值，并确定。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209550</wp:posOffset>
            </wp:positionV>
            <wp:extent cx="666750" cy="466725"/>
            <wp:effectExtent l="0" t="0" r="0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设定升降速档：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按图示区域： </w:t>
      </w:r>
      <w:r>
        <w:rPr>
          <w:rFonts w:ascii="宋体" w:hAnsi="宋体" w:eastAsia="宋体"/>
          <w:sz w:val="24"/>
          <w:szCs w:val="24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进行升速、降速的档数设定。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 xml:space="preserve">.2 </w:t>
      </w:r>
      <w:r>
        <w:rPr>
          <w:rFonts w:hint="eastAsia" w:ascii="宋体" w:hAnsi="宋体" w:eastAsia="宋体"/>
          <w:sz w:val="24"/>
          <w:szCs w:val="24"/>
        </w:rPr>
        <w:t>运行操作：</w:t>
      </w:r>
    </w:p>
    <w:p>
      <w:pPr>
        <w:spacing w:line="360" w:lineRule="auto"/>
        <w:ind w:firstLine="21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-57150</wp:posOffset>
            </wp:positionV>
            <wp:extent cx="895350" cy="43815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439420</wp:posOffset>
            </wp:positionV>
            <wp:extent cx="685800" cy="642620"/>
            <wp:effectExtent l="0" t="0" r="0" b="571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</w:rPr>
        <w:t xml:space="preserve">1、按真空键 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>，开始排气，温度控制开始启动，达到较高的真空水平。</w:t>
      </w:r>
    </w:p>
    <w:p>
      <w:pPr>
        <w:spacing w:line="360" w:lineRule="auto"/>
        <w:ind w:firstLine="21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508635</wp:posOffset>
            </wp:positionV>
            <wp:extent cx="563245" cy="514350"/>
            <wp:effectExtent l="0" t="0" r="825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33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 xml:space="preserve">、按“开始”方框： </w:t>
      </w:r>
      <w:r>
        <w:rPr>
          <w:rFonts w:ascii="宋体" w:hAnsi="宋体" w:eastAsia="宋体"/>
          <w:sz w:val="24"/>
          <w:szCs w:val="24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机器自动运行，待真空度达到时，自动运行开始转速。</w:t>
      </w:r>
    </w:p>
    <w:p>
      <w:pPr>
        <w:spacing w:line="360" w:lineRule="auto"/>
        <w:ind w:firstLine="21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471805</wp:posOffset>
            </wp:positionV>
            <wp:extent cx="981075" cy="49974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 xml:space="preserve">、此 </w:t>
      </w:r>
      <w:r>
        <w:rPr>
          <w:rFonts w:ascii="宋体" w:hAnsi="宋体" w:eastAsia="宋体"/>
          <w:sz w:val="24"/>
          <w:szCs w:val="24"/>
        </w:rPr>
        <w:t xml:space="preserve">        </w:t>
      </w:r>
      <w:r>
        <w:rPr>
          <w:rFonts w:hint="eastAsia" w:ascii="宋体" w:hAnsi="宋体" w:eastAsia="宋体"/>
          <w:sz w:val="24"/>
          <w:szCs w:val="24"/>
        </w:rPr>
        <w:t>方框闪烁，表示转头开始降速，待停止灯亮起时，表示转头停止转动。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 xml:space="preserve">、机器运行结束灯亮起时，按真空键 </w:t>
      </w:r>
      <w:r>
        <w:rPr>
          <w:rFonts w:ascii="宋体" w:hAnsi="宋体" w:eastAsia="宋体"/>
          <w:sz w:val="24"/>
          <w:szCs w:val="24"/>
        </w:rPr>
        <w:t xml:space="preserve">             </w:t>
      </w:r>
      <w:r>
        <w:rPr>
          <w:rFonts w:hint="eastAsia" w:ascii="宋体" w:hAnsi="宋体" w:eastAsia="宋体"/>
          <w:sz w:val="24"/>
          <w:szCs w:val="24"/>
        </w:rPr>
        <w:t>，真空泵停止，空气泄漏阀启动，转子室达到大气压力。机器门解锁，可以打开或关闭。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、取出转头（保证此时转头已经完全停止运行）</w:t>
      </w:r>
    </w:p>
    <w:p>
      <w:pPr>
        <w:spacing w:line="360" w:lineRule="auto"/>
        <w:ind w:firstLine="3373" w:firstLineChars="14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简易操作图示：</w:t>
      </w:r>
    </w:p>
    <w:p>
      <w:pPr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76200</wp:posOffset>
            </wp:positionV>
            <wp:extent cx="4688840" cy="5495925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2173" cy="549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firstLine="240" w:firstLineChars="100"/>
        <w:rPr>
          <w:rFonts w:hint="eastAsia"/>
          <w:sz w:val="24"/>
          <w:szCs w:val="24"/>
        </w:rPr>
      </w:pPr>
    </w:p>
    <w:p>
      <w:pPr>
        <w:ind w:left="360" w:hanging="36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超速离心机使用指南</w:t>
      </w:r>
    </w:p>
    <w:p>
      <w:pPr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2457450" cy="285750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drawing>
          <wp:inline distT="0" distB="0" distL="0" distR="0">
            <wp:extent cx="5274310" cy="272415"/>
            <wp:effectExtent l="19050" t="0" r="254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745740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1865630"/>
            <wp:effectExtent l="19050" t="0" r="254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7F7"/>
    <w:multiLevelType w:val="multilevel"/>
    <w:tmpl w:val="523B67F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21E"/>
    <w:rsid w:val="000916BB"/>
    <w:rsid w:val="00097CAF"/>
    <w:rsid w:val="00260088"/>
    <w:rsid w:val="002A0BEB"/>
    <w:rsid w:val="00494F01"/>
    <w:rsid w:val="004B721E"/>
    <w:rsid w:val="00573BF8"/>
    <w:rsid w:val="005828E7"/>
    <w:rsid w:val="006135E0"/>
    <w:rsid w:val="006C4231"/>
    <w:rsid w:val="00727189"/>
    <w:rsid w:val="00733354"/>
    <w:rsid w:val="008747F8"/>
    <w:rsid w:val="00934C59"/>
    <w:rsid w:val="00A1260D"/>
    <w:rsid w:val="00A3121A"/>
    <w:rsid w:val="00A53051"/>
    <w:rsid w:val="00AA3A8A"/>
    <w:rsid w:val="00BF2C1A"/>
    <w:rsid w:val="00C92D4A"/>
    <w:rsid w:val="00CE6445"/>
    <w:rsid w:val="00CF2A0C"/>
    <w:rsid w:val="00D754DF"/>
    <w:rsid w:val="00DE1446"/>
    <w:rsid w:val="00E451D2"/>
    <w:rsid w:val="347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</Words>
  <Characters>473</Characters>
  <Lines>3</Lines>
  <Paragraphs>1</Paragraphs>
  <TotalTime>75</TotalTime>
  <ScaleCrop>false</ScaleCrop>
  <LinksUpToDate>false</LinksUpToDate>
  <CharactersWithSpaces>554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2019-03-10T11:06:00Z</dcterms:created>
  <dc:creator>chaoy</dc:creator>
  <cp:lastModifiedBy>lenovo</cp:lastModifiedBy>
  <dcterms:modified xsi:type="dcterms:W3CDTF">2019-04-03T03:25:44Z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